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48163B59" w:rsidR="00115E2A" w:rsidRDefault="00DA5776">
      <w:pPr>
        <w:spacing w:line="276" w:lineRule="auto"/>
        <w:jc w:val="left"/>
      </w:pPr>
      <w:r>
        <w:t xml:space="preserve">A Bill for an Act relating to Accessible Civics Education </w:t>
      </w:r>
      <w:r w:rsidR="006B3FD1">
        <w:t>Bill 2020</w:t>
      </w:r>
      <w:r>
        <w:t xml:space="preserve">. </w:t>
      </w:r>
    </w:p>
    <w:p w14:paraId="00000002" w14:textId="77777777" w:rsidR="00115E2A" w:rsidRDefault="00115E2A">
      <w:pPr>
        <w:spacing w:line="276" w:lineRule="auto"/>
        <w:jc w:val="left"/>
      </w:pPr>
    </w:p>
    <w:p w14:paraId="00000003" w14:textId="77777777" w:rsidR="00115E2A" w:rsidRDefault="00DA5776">
      <w:pPr>
        <w:spacing w:line="276" w:lineRule="auto"/>
        <w:jc w:val="left"/>
      </w:pPr>
      <w:bookmarkStart w:id="0" w:name="_heading=h.g04niex6iv0u" w:colFirst="0" w:colLast="0"/>
      <w:bookmarkEnd w:id="0"/>
      <w:r>
        <w:t>To be enacted by the YMCA Victoria Youth Parliament;</w:t>
      </w:r>
    </w:p>
    <w:p w14:paraId="00000004" w14:textId="77777777" w:rsidR="00115E2A" w:rsidRDefault="00115E2A">
      <w:pPr>
        <w:spacing w:line="276" w:lineRule="auto"/>
        <w:jc w:val="left"/>
      </w:pPr>
    </w:p>
    <w:p w14:paraId="00000005" w14:textId="75719012" w:rsidR="00115E2A" w:rsidRDefault="00DA5776">
      <w:pPr>
        <w:spacing w:line="276" w:lineRule="auto"/>
        <w:jc w:val="center"/>
        <w:rPr>
          <w:b/>
          <w:sz w:val="36"/>
          <w:szCs w:val="36"/>
        </w:rPr>
      </w:pPr>
      <w:bookmarkStart w:id="1" w:name="_heading=h.29renbh1myx2" w:colFirst="0" w:colLast="0"/>
      <w:bookmarkEnd w:id="1"/>
      <w:r>
        <w:rPr>
          <w:b/>
          <w:sz w:val="36"/>
          <w:szCs w:val="36"/>
        </w:rPr>
        <w:t xml:space="preserve">Accessible Civics Education </w:t>
      </w:r>
      <w:r w:rsidR="006B3FD1">
        <w:rPr>
          <w:b/>
          <w:sz w:val="36"/>
          <w:szCs w:val="36"/>
        </w:rPr>
        <w:t>Bill 2020</w:t>
      </w:r>
    </w:p>
    <w:p w14:paraId="20B0F45B" w14:textId="77777777" w:rsidR="00D75FBB" w:rsidRDefault="00D75FBB">
      <w:pPr>
        <w:spacing w:line="276" w:lineRule="auto"/>
        <w:jc w:val="center"/>
        <w:rPr>
          <w:b/>
          <w:sz w:val="36"/>
          <w:szCs w:val="36"/>
        </w:rPr>
      </w:pPr>
    </w:p>
    <w:p w14:paraId="00000006" w14:textId="77777777" w:rsidR="00115E2A" w:rsidRDefault="00DA5776" w:rsidP="006B3FD1">
      <w:pPr>
        <w:spacing w:line="276" w:lineRule="auto"/>
      </w:pPr>
      <w:r>
        <w:t>A Bill for an Act to establish a mandatory civics education program for Victorian secondary school students. Each year around 50 000 Victorian high school students finish their secondary education</w:t>
      </w:r>
      <w:r>
        <w:rPr>
          <w:vertAlign w:val="superscript"/>
        </w:rPr>
        <w:footnoteReference w:id="1"/>
      </w:r>
      <w:r>
        <w:t>. Regrettably, this student population is often bereft of a basic understanding of Victoria’s civic structures.</w:t>
      </w:r>
    </w:p>
    <w:p w14:paraId="00000007" w14:textId="77777777" w:rsidR="00115E2A" w:rsidRDefault="00115E2A" w:rsidP="006B3FD1">
      <w:pPr>
        <w:spacing w:line="276" w:lineRule="auto"/>
      </w:pPr>
    </w:p>
    <w:p w14:paraId="41FF9319" w14:textId="77777777" w:rsidR="006B3FD1" w:rsidRDefault="00DA5776" w:rsidP="006B3FD1">
      <w:pPr>
        <w:spacing w:line="276" w:lineRule="auto"/>
      </w:pPr>
      <w:r>
        <w:t>The Bill was written to enact a program which will be added onto the current secondary school curriculum. The program will function to outline for students’ key areas of civics education such as voting, jury duty and taxes; better enabling all Victorian students to make informed decisions as adults.</w:t>
      </w:r>
    </w:p>
    <w:p w14:paraId="00000008" w14:textId="68C75472" w:rsidR="00115E2A" w:rsidRDefault="00DA5776" w:rsidP="006B3FD1">
      <w:pPr>
        <w:spacing w:line="276" w:lineRule="auto"/>
        <w:rPr>
          <w:color w:val="000000"/>
        </w:rPr>
      </w:pPr>
      <w:r>
        <w:rPr>
          <w:color w:val="000000"/>
        </w:rPr>
        <w:br/>
      </w:r>
    </w:p>
    <w:p w14:paraId="00000009" w14:textId="77777777" w:rsidR="00115E2A" w:rsidRDefault="00DA5776">
      <w:pPr>
        <w:spacing w:line="276" w:lineRule="auto"/>
        <w:jc w:val="left"/>
      </w:pPr>
      <w:r>
        <w:br w:type="page"/>
      </w:r>
    </w:p>
    <w:p w14:paraId="6947DE79" w14:textId="3F9B1D9A" w:rsidR="006B3FD1" w:rsidRDefault="00DA5776" w:rsidP="006B3FD1">
      <w:pPr>
        <w:spacing w:line="23" w:lineRule="atLeast"/>
        <w:jc w:val="center"/>
        <w:rPr>
          <w:b/>
        </w:rPr>
      </w:pPr>
      <w:r>
        <w:rPr>
          <w:b/>
        </w:rPr>
        <w:lastRenderedPageBreak/>
        <w:t>PART I—Preliminary</w:t>
      </w:r>
    </w:p>
    <w:p w14:paraId="0000000B" w14:textId="77777777" w:rsidR="00115E2A" w:rsidRDefault="00DA5776" w:rsidP="006B3FD1">
      <w:pPr>
        <w:spacing w:line="23" w:lineRule="atLeast"/>
        <w:rPr>
          <w:b/>
        </w:rPr>
      </w:pPr>
      <w:r>
        <w:rPr>
          <w:b/>
        </w:rPr>
        <w:t>Clause 1</w:t>
      </w:r>
      <w:r>
        <w:rPr>
          <w:b/>
        </w:rPr>
        <w:tab/>
        <w:t>Purpose</w:t>
      </w:r>
    </w:p>
    <w:p w14:paraId="6F3A72E2" w14:textId="77777777" w:rsidR="006B3FD1" w:rsidRDefault="00DA5776" w:rsidP="006B3FD1">
      <w:pPr>
        <w:spacing w:line="23" w:lineRule="atLeast"/>
        <w:ind w:left="1440"/>
      </w:pPr>
      <w:r>
        <w:t>The main purpose</w:t>
      </w:r>
      <w:r w:rsidR="006B3FD1">
        <w:t>s</w:t>
      </w:r>
      <w:r>
        <w:t xml:space="preserve"> of this </w:t>
      </w:r>
      <w:r w:rsidR="006B3FD1">
        <w:t>A</w:t>
      </w:r>
      <w:r>
        <w:t>ct</w:t>
      </w:r>
      <w:r w:rsidR="006B3FD1">
        <w:t xml:space="preserve"> are</w:t>
      </w:r>
      <w:r w:rsidR="006B3FD1" w:rsidRPr="005B67BB">
        <w:t xml:space="preserve">— </w:t>
      </w:r>
    </w:p>
    <w:p w14:paraId="1DEE5FE9" w14:textId="77777777" w:rsidR="006B3FD1" w:rsidRDefault="006B3FD1" w:rsidP="006B3FD1">
      <w:pPr>
        <w:pStyle w:val="BodyTextIndent"/>
        <w:spacing w:line="23" w:lineRule="atLeast"/>
        <w:jc w:val="both"/>
      </w:pPr>
      <w:r>
        <w:t>(a)</w:t>
      </w:r>
      <w:r>
        <w:tab/>
      </w:r>
      <w:r w:rsidR="00DA5776">
        <w:t>to establish the existence and operation of a mandatory accessible civics education program that will</w:t>
      </w:r>
      <w:r>
        <w:softHyphen/>
      </w:r>
      <w:r w:rsidRPr="005B67BB">
        <w:t>—</w:t>
      </w:r>
    </w:p>
    <w:p w14:paraId="0000000D" w14:textId="183932A0" w:rsidR="00115E2A" w:rsidRDefault="006B3FD1" w:rsidP="006B3FD1">
      <w:pPr>
        <w:pStyle w:val="BodyTextIndent"/>
        <w:spacing w:line="23" w:lineRule="atLeast"/>
        <w:ind w:left="2880"/>
        <w:jc w:val="both"/>
      </w:pPr>
      <w:r>
        <w:t>(</w:t>
      </w:r>
      <w:proofErr w:type="spellStart"/>
      <w:r>
        <w:t>i</w:t>
      </w:r>
      <w:proofErr w:type="spellEnd"/>
      <w:r>
        <w:t>)</w:t>
      </w:r>
      <w:r>
        <w:tab/>
        <w:t>p</w:t>
      </w:r>
      <w:r w:rsidR="00DA5776">
        <w:t>rovide Victorian students with the knowledge, skills and values needed to confidently participate as active and informed citizens in the democratic process;</w:t>
      </w:r>
    </w:p>
    <w:p w14:paraId="0000000E" w14:textId="619670A5" w:rsidR="00115E2A" w:rsidRDefault="006B3FD1" w:rsidP="006B3FD1">
      <w:pPr>
        <w:spacing w:line="23" w:lineRule="atLeast"/>
        <w:ind w:left="2880" w:hanging="720"/>
      </w:pPr>
      <w:r>
        <w:t>(ii)</w:t>
      </w:r>
      <w:r>
        <w:tab/>
        <w:t>i</w:t>
      </w:r>
      <w:r w:rsidR="00DA5776">
        <w:t>nform and educate students on the process of voting in an unbiased and objective manner;</w:t>
      </w:r>
    </w:p>
    <w:p w14:paraId="0000000F" w14:textId="55E3F98A" w:rsidR="00115E2A" w:rsidRDefault="006B3FD1" w:rsidP="006B3FD1">
      <w:pPr>
        <w:spacing w:line="23" w:lineRule="atLeast"/>
        <w:ind w:left="2160" w:hanging="720"/>
      </w:pPr>
      <w:r>
        <w:t>(b)</w:t>
      </w:r>
      <w:r>
        <w:tab/>
        <w:t>to p</w:t>
      </w:r>
      <w:r w:rsidR="00DA5776">
        <w:t>rovide students with an understanding of their citizenship responsibilities of voting in state, federal, and local council elections;</w:t>
      </w:r>
    </w:p>
    <w:p w14:paraId="53F001C9" w14:textId="77777777" w:rsidR="006B3FD1" w:rsidRDefault="006B3FD1" w:rsidP="006B3FD1">
      <w:pPr>
        <w:spacing w:line="23" w:lineRule="atLeast"/>
        <w:ind w:left="2160" w:hanging="720"/>
      </w:pPr>
      <w:r>
        <w:t>(c)</w:t>
      </w:r>
      <w:r>
        <w:tab/>
        <w:t>h</w:t>
      </w:r>
      <w:r w:rsidR="00DA5776">
        <w:t>elp students gain an understanding of the processes involved in policy making, and the ways that policy affects and informs their lives;</w:t>
      </w:r>
    </w:p>
    <w:p w14:paraId="633DB0EC" w14:textId="77777777" w:rsidR="006B3FD1" w:rsidRDefault="006B3FD1" w:rsidP="006B3FD1">
      <w:pPr>
        <w:spacing w:line="23" w:lineRule="atLeast"/>
        <w:ind w:left="2160" w:hanging="720"/>
      </w:pPr>
      <w:r>
        <w:t>(d)</w:t>
      </w:r>
      <w:r>
        <w:tab/>
        <w:t>i</w:t>
      </w:r>
      <w:r w:rsidR="00DA5776">
        <w:t>mprove student’s awareness and understanding of tax systems;</w:t>
      </w:r>
    </w:p>
    <w:p w14:paraId="00000012" w14:textId="13602E8C" w:rsidR="00115E2A" w:rsidRDefault="006B3FD1" w:rsidP="006B3FD1">
      <w:pPr>
        <w:spacing w:line="23" w:lineRule="atLeast"/>
        <w:ind w:left="2160" w:hanging="720"/>
      </w:pPr>
      <w:r>
        <w:t>(e)</w:t>
      </w:r>
      <w:r>
        <w:tab/>
        <w:t>i</w:t>
      </w:r>
      <w:r w:rsidR="00DA5776">
        <w:t>mprove student's knowledge and understanding of their citizenship responsibilities in relation to jury duty.</w:t>
      </w:r>
    </w:p>
    <w:p w14:paraId="00000013" w14:textId="77777777" w:rsidR="00115E2A" w:rsidRDefault="00DA5776" w:rsidP="006B3FD1">
      <w:pPr>
        <w:pStyle w:val="Heading2"/>
        <w:spacing w:after="0" w:line="23" w:lineRule="atLeast"/>
        <w:rPr>
          <w:sz w:val="24"/>
          <w:szCs w:val="24"/>
        </w:rPr>
      </w:pPr>
      <w:bookmarkStart w:id="2" w:name="_heading=h.3znysh7" w:colFirst="0" w:colLast="0"/>
      <w:bookmarkEnd w:id="2"/>
      <w:r>
        <w:rPr>
          <w:sz w:val="24"/>
          <w:szCs w:val="24"/>
        </w:rPr>
        <w:t>Clause 2</w:t>
      </w:r>
      <w:r>
        <w:rPr>
          <w:sz w:val="24"/>
          <w:szCs w:val="24"/>
        </w:rPr>
        <w:tab/>
        <w:t>Commencement</w:t>
      </w:r>
    </w:p>
    <w:p w14:paraId="00000014" w14:textId="77777777" w:rsidR="00115E2A" w:rsidRDefault="00DA5776" w:rsidP="006B3FD1">
      <w:pPr>
        <w:spacing w:line="23" w:lineRule="atLeast"/>
        <w:ind w:left="1440"/>
      </w:pPr>
      <w:r>
        <w:t xml:space="preserve">This Bill shall commence upon receiving assent from the Youth Governor of Victoria. </w:t>
      </w:r>
    </w:p>
    <w:bookmarkStart w:id="3" w:name="_heading=h.2et92p0" w:colFirst="0" w:colLast="0"/>
    <w:bookmarkEnd w:id="3"/>
    <w:p w14:paraId="00000015" w14:textId="77777777" w:rsidR="00115E2A" w:rsidRDefault="00D116C7" w:rsidP="006B3FD1">
      <w:pPr>
        <w:pStyle w:val="Heading2"/>
        <w:spacing w:after="0" w:line="23" w:lineRule="atLeast"/>
        <w:rPr>
          <w:sz w:val="24"/>
          <w:szCs w:val="24"/>
        </w:rPr>
      </w:pPr>
      <w:sdt>
        <w:sdtPr>
          <w:tag w:val="goog_rdk_0"/>
          <w:id w:val="1482420724"/>
        </w:sdtPr>
        <w:sdtEndPr/>
        <w:sdtContent/>
      </w:sdt>
      <w:r w:rsidR="00DA5776">
        <w:rPr>
          <w:sz w:val="24"/>
          <w:szCs w:val="24"/>
        </w:rPr>
        <w:t xml:space="preserve">Clause 3 </w:t>
      </w:r>
      <w:r w:rsidR="00DA5776">
        <w:rPr>
          <w:sz w:val="24"/>
          <w:szCs w:val="24"/>
        </w:rPr>
        <w:tab/>
        <w:t xml:space="preserve">Definitions </w:t>
      </w:r>
    </w:p>
    <w:p w14:paraId="00000016" w14:textId="77777777" w:rsidR="00115E2A" w:rsidRDefault="00DA5776" w:rsidP="006B3FD1">
      <w:pPr>
        <w:spacing w:line="23" w:lineRule="atLeast"/>
        <w:ind w:left="1440"/>
      </w:pPr>
      <w:r>
        <w:t xml:space="preserve">In this Bill, we define the following to mean— </w:t>
      </w:r>
    </w:p>
    <w:p w14:paraId="49EBBB43" w14:textId="77777777" w:rsidR="006B3FD1" w:rsidRDefault="006B3FD1" w:rsidP="006B3FD1">
      <w:pPr>
        <w:spacing w:line="23" w:lineRule="atLeast"/>
        <w:ind w:left="1440"/>
      </w:pPr>
      <w:r w:rsidRPr="006B3FD1">
        <w:rPr>
          <w:bCs/>
          <w:iCs/>
        </w:rPr>
        <w:t>(a)</w:t>
      </w:r>
      <w:r>
        <w:rPr>
          <w:b/>
          <w:i/>
        </w:rPr>
        <w:tab/>
      </w:r>
      <w:r w:rsidR="00DA5776">
        <w:rPr>
          <w:b/>
          <w:i/>
        </w:rPr>
        <w:t>student(s</w:t>
      </w:r>
      <w:r w:rsidR="00DA5776">
        <w:rPr>
          <w:i/>
        </w:rPr>
        <w:t>)</w:t>
      </w:r>
      <w:r w:rsidR="00DA5776">
        <w:t xml:space="preserve"> </w:t>
      </w:r>
      <w:r>
        <w:t>means</w:t>
      </w:r>
      <w:r w:rsidR="00DA5776">
        <w:t xml:space="preserve"> patrons or attendees of the program;</w:t>
      </w:r>
    </w:p>
    <w:p w14:paraId="6B7DCC66" w14:textId="77777777" w:rsidR="006B3FD1" w:rsidRDefault="006B3FD1" w:rsidP="006B3FD1">
      <w:pPr>
        <w:spacing w:line="23" w:lineRule="atLeast"/>
        <w:ind w:left="2160" w:hanging="720"/>
      </w:pPr>
      <w:r>
        <w:rPr>
          <w:bCs/>
          <w:iCs/>
        </w:rPr>
        <w:t>(b)</w:t>
      </w:r>
      <w:r>
        <w:rPr>
          <w:bCs/>
          <w:iCs/>
        </w:rPr>
        <w:tab/>
      </w:r>
      <w:r w:rsidR="00DA5776">
        <w:rPr>
          <w:b/>
          <w:i/>
        </w:rPr>
        <w:t>other first-time voters</w:t>
      </w:r>
      <w:r w:rsidR="00DA5776">
        <w:rPr>
          <w:b/>
        </w:rPr>
        <w:t xml:space="preserve"> </w:t>
      </w:r>
      <w:r w:rsidR="00DA5776">
        <w:t>refers to individuals who have not yet been exposed to the Australian voting ballot;</w:t>
      </w:r>
    </w:p>
    <w:p w14:paraId="1AE2F368" w14:textId="77777777" w:rsidR="006B3FD1" w:rsidRDefault="006B3FD1" w:rsidP="006B3FD1">
      <w:pPr>
        <w:spacing w:line="23" w:lineRule="atLeast"/>
        <w:ind w:left="2160" w:hanging="720"/>
      </w:pPr>
      <w:r>
        <w:t>(c)</w:t>
      </w:r>
      <w:r>
        <w:tab/>
      </w:r>
      <w:r w:rsidR="00DA5776">
        <w:rPr>
          <w:b/>
          <w:i/>
        </w:rPr>
        <w:t>local governments</w:t>
      </w:r>
      <w:r w:rsidR="00DA5776">
        <w:t xml:space="preserve"> means the tier of government overseeing municipalities and shires; in accordance with the definition provided in </w:t>
      </w:r>
      <w:r>
        <w:t>p</w:t>
      </w:r>
      <w:r w:rsidR="00DA5776">
        <w:t xml:space="preserve">art 1 of the </w:t>
      </w:r>
      <w:r w:rsidR="00DA5776" w:rsidRPr="006B3FD1">
        <w:rPr>
          <w:b/>
          <w:bCs/>
          <w:iCs/>
          <w:color w:val="212121"/>
        </w:rPr>
        <w:t>Local Government Act 2020;</w:t>
      </w:r>
    </w:p>
    <w:p w14:paraId="2DB99E1D" w14:textId="77777777" w:rsidR="006B3FD1" w:rsidRDefault="006B3FD1" w:rsidP="006B3FD1">
      <w:pPr>
        <w:spacing w:line="23" w:lineRule="atLeast"/>
        <w:ind w:left="2160" w:hanging="720"/>
      </w:pPr>
      <w:r>
        <w:t>(d)</w:t>
      </w:r>
      <w:r>
        <w:tab/>
      </w:r>
      <w:r w:rsidR="00DA5776">
        <w:rPr>
          <w:b/>
          <w:i/>
        </w:rPr>
        <w:t xml:space="preserve">existing external programs </w:t>
      </w:r>
      <w:r w:rsidR="00DA5776">
        <w:t xml:space="preserve">means extracurricular programs or modules operated by private enterprises, Council divisions, </w:t>
      </w:r>
      <w:proofErr w:type="spellStart"/>
      <w:r w:rsidR="00DA5776">
        <w:t>etc</w:t>
      </w:r>
      <w:proofErr w:type="spellEnd"/>
      <w:r>
        <w:t>…</w:t>
      </w:r>
      <w:r w:rsidR="00DA5776">
        <w:t xml:space="preserve">,  that seek to educate </w:t>
      </w:r>
      <w:r w:rsidR="00DA5776" w:rsidRPr="006B3FD1">
        <w:rPr>
          <w:iCs/>
        </w:rPr>
        <w:t>students</w:t>
      </w:r>
      <w:r w:rsidR="00DA5776">
        <w:rPr>
          <w:i/>
        </w:rPr>
        <w:t xml:space="preserve"> </w:t>
      </w:r>
      <w:r w:rsidR="00DA5776">
        <w:t>on civic education and were in operation prior to the commencement of this Act;</w:t>
      </w:r>
    </w:p>
    <w:p w14:paraId="0000001B" w14:textId="63DF43CC" w:rsidR="00115E2A" w:rsidRPr="006B3FD1" w:rsidRDefault="006B3FD1" w:rsidP="006B3FD1">
      <w:pPr>
        <w:spacing w:line="23" w:lineRule="atLeast"/>
        <w:ind w:left="2160" w:hanging="720"/>
        <w:rPr>
          <w:bCs/>
          <w:iCs/>
        </w:rPr>
      </w:pPr>
      <w:r>
        <w:t>(e)</w:t>
      </w:r>
      <w:r>
        <w:tab/>
      </w:r>
      <w:r w:rsidRPr="006B3FD1">
        <w:rPr>
          <w:b/>
          <w:bCs/>
          <w:i/>
          <w:iCs/>
        </w:rPr>
        <w:t>the Department</w:t>
      </w:r>
      <w:r>
        <w:t xml:space="preserve"> means the </w:t>
      </w:r>
      <w:r w:rsidR="00DA5776" w:rsidRPr="006B3FD1">
        <w:rPr>
          <w:bCs/>
          <w:iCs/>
        </w:rPr>
        <w:t>Department of Education and Training</w:t>
      </w:r>
      <w:r>
        <w:rPr>
          <w:bCs/>
          <w:iCs/>
        </w:rPr>
        <w:t>.</w:t>
      </w:r>
    </w:p>
    <w:p w14:paraId="329BBEBC" w14:textId="19E99ECF" w:rsidR="006B3FD1" w:rsidRPr="006B3FD1" w:rsidRDefault="00DA5776" w:rsidP="00DF1B04">
      <w:pPr>
        <w:pStyle w:val="Heading1"/>
        <w:spacing w:after="0" w:line="23" w:lineRule="atLeast"/>
        <w:jc w:val="center"/>
      </w:pPr>
      <w:bookmarkStart w:id="4" w:name="_heading=h.tyjcwt" w:colFirst="0" w:colLast="0"/>
      <w:bookmarkEnd w:id="4"/>
      <w:r>
        <w:rPr>
          <w:sz w:val="24"/>
          <w:szCs w:val="24"/>
        </w:rPr>
        <w:t>PART II—Establishment</w:t>
      </w:r>
      <w:r w:rsidR="00DF1B04">
        <w:rPr>
          <w:sz w:val="24"/>
          <w:szCs w:val="24"/>
        </w:rPr>
        <w:br/>
      </w:r>
    </w:p>
    <w:p w14:paraId="0000001E" w14:textId="3B955CD5" w:rsidR="00115E2A" w:rsidRDefault="00DA5776" w:rsidP="005B6884">
      <w:pPr>
        <w:spacing w:line="23" w:lineRule="atLeast"/>
        <w:ind w:left="1440" w:hanging="1440"/>
        <w:rPr>
          <w:b/>
        </w:rPr>
      </w:pPr>
      <w:r>
        <w:rPr>
          <w:b/>
        </w:rPr>
        <w:t>Clause 4</w:t>
      </w:r>
      <w:r>
        <w:rPr>
          <w:b/>
        </w:rPr>
        <w:tab/>
      </w:r>
      <w:r w:rsidR="006B3FD1">
        <w:rPr>
          <w:b/>
        </w:rPr>
        <w:t>Development</w:t>
      </w:r>
      <w:r>
        <w:rPr>
          <w:b/>
        </w:rPr>
        <w:t xml:space="preserve"> of </w:t>
      </w:r>
      <w:r w:rsidR="006B3FD1">
        <w:rPr>
          <w:b/>
        </w:rPr>
        <w:t xml:space="preserve">an </w:t>
      </w:r>
      <w:r>
        <w:rPr>
          <w:b/>
        </w:rPr>
        <w:t>Accessible Civics Education Program</w:t>
      </w:r>
    </w:p>
    <w:p w14:paraId="0000001F" w14:textId="77777777" w:rsidR="00115E2A" w:rsidRDefault="00DA5776" w:rsidP="005B6884">
      <w:pPr>
        <w:spacing w:line="23" w:lineRule="atLeast"/>
        <w:ind w:left="2160" w:hanging="720"/>
      </w:pPr>
      <w:r>
        <w:t>4.1</w:t>
      </w:r>
      <w:r>
        <w:tab/>
        <w:t>A renewed and accessible civics education program is to be developed and implemented by local governments across Victoria.</w:t>
      </w:r>
    </w:p>
    <w:p w14:paraId="00000020" w14:textId="77777777" w:rsidR="00115E2A" w:rsidRDefault="00DA5776" w:rsidP="005B6884">
      <w:pPr>
        <w:spacing w:line="23" w:lineRule="atLeast"/>
        <w:ind w:left="2160" w:hanging="720"/>
      </w:pPr>
      <w:r>
        <w:t>4.2</w:t>
      </w:r>
      <w:r>
        <w:tab/>
        <w:t xml:space="preserve">The provision and implementation of the program shall be mandatory. </w:t>
      </w:r>
    </w:p>
    <w:p w14:paraId="00000021" w14:textId="77777777" w:rsidR="00115E2A" w:rsidRDefault="00DA5776" w:rsidP="005B6884">
      <w:pPr>
        <w:spacing w:line="23" w:lineRule="atLeast"/>
        <w:ind w:left="2160" w:hanging="720"/>
      </w:pPr>
      <w:r>
        <w:lastRenderedPageBreak/>
        <w:t>4.3</w:t>
      </w:r>
      <w:r>
        <w:tab/>
        <w:t>The implementation of the program shall be overseen by the Minister for Education and the Department of Education and Training.</w:t>
      </w:r>
    </w:p>
    <w:p w14:paraId="00000022" w14:textId="77777777" w:rsidR="00115E2A" w:rsidRDefault="00DA5776" w:rsidP="005B6884">
      <w:pPr>
        <w:pStyle w:val="Heading2"/>
        <w:spacing w:after="0" w:line="23" w:lineRule="atLeast"/>
        <w:rPr>
          <w:sz w:val="24"/>
          <w:szCs w:val="24"/>
        </w:rPr>
      </w:pPr>
      <w:bookmarkStart w:id="5" w:name="_heading=h.ckqcmbubc2be" w:colFirst="0" w:colLast="0"/>
      <w:bookmarkEnd w:id="5"/>
      <w:r>
        <w:rPr>
          <w:sz w:val="24"/>
          <w:szCs w:val="24"/>
        </w:rPr>
        <w:t>Clause 5</w:t>
      </w:r>
      <w:r>
        <w:rPr>
          <w:sz w:val="24"/>
          <w:szCs w:val="24"/>
        </w:rPr>
        <w:tab/>
        <w:t>Program resourcing</w:t>
      </w:r>
    </w:p>
    <w:p w14:paraId="00000023" w14:textId="4DF0C3BC" w:rsidR="00115E2A" w:rsidRDefault="00DA5776" w:rsidP="005B6884">
      <w:pPr>
        <w:spacing w:line="23" w:lineRule="atLeast"/>
        <w:ind w:left="2160" w:hanging="720"/>
      </w:pPr>
      <w:r>
        <w:t>5.1</w:t>
      </w:r>
      <w:r>
        <w:tab/>
        <w:t>The Department of Education and Training shall provide the local government with resources upon request, ensuring that resources are elevated equitably across the state. Suitable resources include but are not limited to</w:t>
      </w:r>
      <w:r w:rsidR="006B3FD1" w:rsidRPr="005B67BB">
        <w:t>—</w:t>
      </w:r>
    </w:p>
    <w:p w14:paraId="00000024" w14:textId="77777777" w:rsidR="00115E2A" w:rsidRDefault="00DA5776" w:rsidP="005B6884">
      <w:pPr>
        <w:spacing w:line="23" w:lineRule="atLeast"/>
        <w:ind w:left="1440" w:firstLine="720"/>
      </w:pPr>
      <w:r>
        <w:t>(a)</w:t>
      </w:r>
      <w:r>
        <w:tab/>
        <w:t>funding;</w:t>
      </w:r>
    </w:p>
    <w:p w14:paraId="00000025" w14:textId="77777777" w:rsidR="00115E2A" w:rsidRDefault="00DA5776" w:rsidP="005B6884">
      <w:pPr>
        <w:spacing w:line="23" w:lineRule="atLeast"/>
        <w:ind w:left="1440" w:firstLine="720"/>
      </w:pPr>
      <w:r>
        <w:t>(b)</w:t>
      </w:r>
      <w:r>
        <w:tab/>
        <w:t>facilities;</w:t>
      </w:r>
    </w:p>
    <w:p w14:paraId="00000026" w14:textId="77777777" w:rsidR="00115E2A" w:rsidRDefault="00DA5776" w:rsidP="005B6884">
      <w:pPr>
        <w:spacing w:line="23" w:lineRule="atLeast"/>
        <w:ind w:left="1440" w:firstLine="720"/>
      </w:pPr>
      <w:r>
        <w:t>(c)</w:t>
      </w:r>
      <w:r>
        <w:tab/>
        <w:t>publicly employed humanities teachers.</w:t>
      </w:r>
    </w:p>
    <w:p w14:paraId="00000027" w14:textId="1A22D4F5" w:rsidR="00115E2A" w:rsidRDefault="00DA5776" w:rsidP="005B6884">
      <w:pPr>
        <w:spacing w:line="23" w:lineRule="atLeast"/>
        <w:ind w:left="2160" w:hanging="720"/>
      </w:pPr>
      <w:r>
        <w:t>5.2</w:t>
      </w:r>
      <w:r>
        <w:tab/>
        <w:t>Local governments shall have the capacity to collaborate with the following parties in the delivery of their program</w:t>
      </w:r>
      <w:r w:rsidR="006B3FD1" w:rsidRPr="005B67BB">
        <w:t>—</w:t>
      </w:r>
    </w:p>
    <w:p w14:paraId="00000028" w14:textId="77777777" w:rsidR="00115E2A" w:rsidRDefault="00DA5776" w:rsidP="005B6884">
      <w:pPr>
        <w:spacing w:line="23" w:lineRule="atLeast"/>
        <w:ind w:left="1440" w:firstLine="720"/>
      </w:pPr>
      <w:r>
        <w:t>(a)</w:t>
      </w:r>
      <w:r>
        <w:tab/>
        <w:t>youth branches of their local governments;</w:t>
      </w:r>
    </w:p>
    <w:p w14:paraId="00000029" w14:textId="77777777" w:rsidR="00115E2A" w:rsidRDefault="00DA5776" w:rsidP="005B6884">
      <w:pPr>
        <w:spacing w:line="23" w:lineRule="atLeast"/>
        <w:ind w:left="1440" w:firstLine="720"/>
      </w:pPr>
      <w:r>
        <w:t>(b)</w:t>
      </w:r>
      <w:r>
        <w:tab/>
        <w:t>local Library staff;</w:t>
      </w:r>
    </w:p>
    <w:p w14:paraId="0000002A" w14:textId="277D797F" w:rsidR="00115E2A" w:rsidRDefault="00DA5776" w:rsidP="00DF1B04">
      <w:pPr>
        <w:spacing w:line="23" w:lineRule="atLeast"/>
        <w:ind w:left="1440" w:firstLine="720"/>
        <w:jc w:val="left"/>
      </w:pPr>
      <w:r>
        <w:t>(c)</w:t>
      </w:r>
      <w:r>
        <w:tab/>
      </w:r>
      <w:r w:rsidR="00DF1B04">
        <w:t>neighborhood</w:t>
      </w:r>
      <w:r>
        <w:t xml:space="preserve"> </w:t>
      </w:r>
      <w:proofErr w:type="spellStart"/>
      <w:r>
        <w:t>ouses</w:t>
      </w:r>
      <w:proofErr w:type="spellEnd"/>
      <w:r>
        <w:t>;</w:t>
      </w:r>
      <w:r>
        <w:br/>
      </w:r>
      <w:r>
        <w:tab/>
        <w:t>(d)</w:t>
      </w:r>
      <w:r>
        <w:tab/>
        <w:t xml:space="preserve">other facilities under the operation of local governments. </w:t>
      </w:r>
    </w:p>
    <w:p w14:paraId="0000002B" w14:textId="4931EE26" w:rsidR="00115E2A" w:rsidRDefault="00DA5776" w:rsidP="005B6884">
      <w:pPr>
        <w:spacing w:line="23" w:lineRule="atLeast"/>
        <w:ind w:left="2160" w:hanging="720"/>
      </w:pPr>
      <w:r>
        <w:t>5.3</w:t>
      </w:r>
      <w:r>
        <w:tab/>
        <w:t>Local</w:t>
      </w:r>
      <w:r w:rsidR="006B3FD1">
        <w:t xml:space="preserve"> </w:t>
      </w:r>
      <w:r>
        <w:t xml:space="preserve">governments may adopt and amend </w:t>
      </w:r>
      <w:r>
        <w:rPr>
          <w:i/>
        </w:rPr>
        <w:t>existing external civics education programs</w:t>
      </w:r>
      <w:r>
        <w:t xml:space="preserve"> to ensure compliance with this Act.</w:t>
      </w:r>
    </w:p>
    <w:p w14:paraId="0000002C" w14:textId="77777777" w:rsidR="00115E2A" w:rsidRDefault="00DA5776" w:rsidP="005B6884">
      <w:pPr>
        <w:pStyle w:val="Heading2"/>
        <w:spacing w:after="0" w:line="23" w:lineRule="atLeast"/>
        <w:rPr>
          <w:sz w:val="24"/>
          <w:szCs w:val="24"/>
        </w:rPr>
      </w:pPr>
      <w:bookmarkStart w:id="6" w:name="_heading=h.3dy6vkm" w:colFirst="0" w:colLast="0"/>
      <w:bookmarkEnd w:id="6"/>
      <w:r>
        <w:rPr>
          <w:sz w:val="24"/>
          <w:szCs w:val="24"/>
        </w:rPr>
        <w:t>Clause 6</w:t>
      </w:r>
      <w:r>
        <w:rPr>
          <w:sz w:val="24"/>
          <w:szCs w:val="24"/>
        </w:rPr>
        <w:tab/>
        <w:t>Program delivery</w:t>
      </w:r>
    </w:p>
    <w:p w14:paraId="0000002D" w14:textId="77777777" w:rsidR="00115E2A" w:rsidRDefault="00DA5776" w:rsidP="005B6884">
      <w:pPr>
        <w:spacing w:line="23" w:lineRule="atLeast"/>
        <w:ind w:left="2160" w:hanging="720"/>
      </w:pPr>
      <w:r>
        <w:t>6.1</w:t>
      </w:r>
      <w:r>
        <w:tab/>
        <w:t>The program is to be delivered in addition to the existing secondary school curriculum and made available to other first-time voters across the state.</w:t>
      </w:r>
    </w:p>
    <w:p w14:paraId="0000002E" w14:textId="77777777" w:rsidR="00115E2A" w:rsidRDefault="00DA5776" w:rsidP="005B6884">
      <w:pPr>
        <w:pStyle w:val="Heading2"/>
        <w:spacing w:after="0" w:line="23" w:lineRule="atLeast"/>
        <w:rPr>
          <w:sz w:val="24"/>
          <w:szCs w:val="24"/>
        </w:rPr>
      </w:pPr>
      <w:bookmarkStart w:id="7" w:name="_heading=h.1t3h5sf" w:colFirst="0" w:colLast="0"/>
      <w:bookmarkEnd w:id="7"/>
      <w:r>
        <w:rPr>
          <w:sz w:val="24"/>
          <w:szCs w:val="24"/>
        </w:rPr>
        <w:t>Clause 7</w:t>
      </w:r>
      <w:r>
        <w:rPr>
          <w:sz w:val="24"/>
          <w:szCs w:val="24"/>
        </w:rPr>
        <w:tab/>
        <w:t>Program Content Standards</w:t>
      </w:r>
    </w:p>
    <w:p w14:paraId="0000002F" w14:textId="3532608A" w:rsidR="00115E2A" w:rsidRDefault="00DA5776" w:rsidP="005B6884">
      <w:pPr>
        <w:spacing w:line="23" w:lineRule="atLeast"/>
        <w:ind w:left="2160" w:hanging="720"/>
      </w:pPr>
      <w:r>
        <w:t>7.1</w:t>
      </w:r>
      <w:r>
        <w:tab/>
        <w:t>The program shall include key information regarding state and federal democratic processes. Including but not limited to</w:t>
      </w:r>
      <w:r w:rsidR="006B3FD1" w:rsidRPr="005B67BB">
        <w:t>—</w:t>
      </w:r>
    </w:p>
    <w:p w14:paraId="00000030" w14:textId="77777777" w:rsidR="00115E2A" w:rsidRDefault="00DA5776" w:rsidP="005B6884">
      <w:pPr>
        <w:spacing w:line="23" w:lineRule="atLeast"/>
        <w:ind w:left="2880" w:hanging="720"/>
      </w:pPr>
      <w:r>
        <w:t>(a)</w:t>
      </w:r>
      <w:r>
        <w:tab/>
        <w:t>the compulsory voting system and civic responsibility to vote in federal, state, and local elections once eligible;</w:t>
      </w:r>
    </w:p>
    <w:p w14:paraId="5B426F72" w14:textId="77777777" w:rsidR="006B3FD1" w:rsidRDefault="00DA5776" w:rsidP="005B6884">
      <w:pPr>
        <w:spacing w:line="23" w:lineRule="atLeast"/>
        <w:ind w:left="2880" w:hanging="720"/>
      </w:pPr>
      <w:r>
        <w:t>(b)</w:t>
      </w:r>
      <w:r>
        <w:tab/>
        <w:t>election procedure, including the conditions to which an election may be called, the conditions to which a double dissolution may be called;</w:t>
      </w:r>
    </w:p>
    <w:p w14:paraId="6576195D" w14:textId="77777777" w:rsidR="006B3FD1" w:rsidRDefault="00DA5776" w:rsidP="005B6884">
      <w:pPr>
        <w:spacing w:line="23" w:lineRule="atLeast"/>
        <w:ind w:left="2880" w:hanging="720"/>
      </w:pPr>
      <w:r>
        <w:t>(c)</w:t>
      </w:r>
      <w:r>
        <w:tab/>
        <w:t>access to and familiarity with voter enrollment forms;</w:t>
      </w:r>
    </w:p>
    <w:p w14:paraId="00000031" w14:textId="6B52E05C" w:rsidR="00115E2A" w:rsidRDefault="00DA5776" w:rsidP="005B6884">
      <w:pPr>
        <w:spacing w:line="23" w:lineRule="atLeast"/>
        <w:ind w:left="2880" w:hanging="720"/>
      </w:pPr>
      <w:r>
        <w:t>(d)</w:t>
      </w:r>
      <w:r>
        <w:tab/>
        <w:t xml:space="preserve">how to cast ballots and the role of the secret ballot. </w:t>
      </w:r>
    </w:p>
    <w:p w14:paraId="00000032" w14:textId="77777777" w:rsidR="00115E2A" w:rsidRDefault="00DA5776" w:rsidP="005B6884">
      <w:pPr>
        <w:spacing w:line="23" w:lineRule="atLeast"/>
        <w:ind w:left="2160" w:hanging="720"/>
      </w:pPr>
      <w:r>
        <w:t>7.2</w:t>
      </w:r>
      <w:r>
        <w:tab/>
        <w:t>The program shall include key information regarding the judicial system. Including the</w:t>
      </w:r>
      <w:r>
        <w:rPr>
          <w:color w:val="222222"/>
          <w:highlight w:val="white"/>
        </w:rPr>
        <w:t xml:space="preserve"> </w:t>
      </w:r>
      <w:r>
        <w:t>responsibility to serve</w:t>
      </w:r>
      <w:r>
        <w:rPr>
          <w:color w:val="222222"/>
          <w:highlight w:val="white"/>
        </w:rPr>
        <w:t xml:space="preserve"> jury duty or as a witness in court.</w:t>
      </w:r>
    </w:p>
    <w:p w14:paraId="00000033" w14:textId="7DAB6FF4" w:rsidR="00115E2A" w:rsidRDefault="00DA5776" w:rsidP="005B6884">
      <w:pPr>
        <w:spacing w:line="23" w:lineRule="atLeast"/>
        <w:ind w:left="2160" w:hanging="720"/>
      </w:pPr>
      <w:r>
        <w:t>7.3</w:t>
      </w:r>
      <w:r>
        <w:tab/>
        <w:t>The program shall include key information regarding taxation</w:t>
      </w:r>
      <w:r w:rsidR="006B3FD1">
        <w:t>,</w:t>
      </w:r>
      <w:r w:rsidR="00FE7A5F">
        <w:t xml:space="preserve"> </w:t>
      </w:r>
      <w:r w:rsidR="006B3FD1">
        <w:t>i</w:t>
      </w:r>
      <w:r>
        <w:t>ncluding but not limited to</w:t>
      </w:r>
      <w:r w:rsidR="006B3FD1" w:rsidRPr="005B67BB">
        <w:t>—</w:t>
      </w:r>
    </w:p>
    <w:p w14:paraId="00000034" w14:textId="66241B51" w:rsidR="00115E2A" w:rsidRDefault="00DA5776" w:rsidP="005B6884">
      <w:pPr>
        <w:spacing w:line="23" w:lineRule="atLeast"/>
        <w:ind w:left="1440" w:firstLine="720"/>
      </w:pPr>
      <w:r>
        <w:t>(a)</w:t>
      </w:r>
      <w:r>
        <w:tab/>
        <w:t>the</w:t>
      </w:r>
      <w:r>
        <w:rPr>
          <w:color w:val="222222"/>
          <w:highlight w:val="white"/>
        </w:rPr>
        <w:t xml:space="preserve"> </w:t>
      </w:r>
      <w:r>
        <w:t xml:space="preserve">requirement to pay taxes once employed; </w:t>
      </w:r>
    </w:p>
    <w:p w14:paraId="00000036" w14:textId="636AFC45" w:rsidR="00115E2A" w:rsidRDefault="00DA5776" w:rsidP="00D75FBB">
      <w:pPr>
        <w:spacing w:line="23" w:lineRule="atLeast"/>
        <w:ind w:left="1440" w:firstLine="720"/>
        <w:rPr>
          <w:color w:val="3C4043"/>
          <w:highlight w:val="white"/>
        </w:rPr>
      </w:pPr>
      <w:r>
        <w:t>(b)</w:t>
      </w:r>
      <w:r>
        <w:tab/>
        <w:t>a basic understanding of the Australian Taxation Office</w:t>
      </w:r>
      <w:r w:rsidR="00FE7A5F">
        <w:t>.</w:t>
      </w:r>
      <w:r>
        <w:t xml:space="preserve"> </w:t>
      </w:r>
    </w:p>
    <w:p w14:paraId="00000037" w14:textId="77777777" w:rsidR="00115E2A" w:rsidRDefault="00115E2A" w:rsidP="005B6884">
      <w:pPr>
        <w:spacing w:line="23" w:lineRule="atLeast"/>
        <w:ind w:left="1440"/>
      </w:pPr>
    </w:p>
    <w:p w14:paraId="00000038" w14:textId="77777777" w:rsidR="00115E2A" w:rsidRDefault="00115E2A" w:rsidP="005B6884">
      <w:pPr>
        <w:spacing w:line="23" w:lineRule="atLeast"/>
        <w:ind w:left="1440"/>
      </w:pPr>
    </w:p>
    <w:p w14:paraId="00000039" w14:textId="77777777" w:rsidR="00115E2A" w:rsidRDefault="00115E2A" w:rsidP="005B6884">
      <w:pPr>
        <w:spacing w:line="23" w:lineRule="atLeast"/>
      </w:pPr>
    </w:p>
    <w:p w14:paraId="0000003A" w14:textId="77777777" w:rsidR="00115E2A" w:rsidRDefault="00115E2A" w:rsidP="005B6884">
      <w:pPr>
        <w:spacing w:line="23" w:lineRule="atLeast"/>
      </w:pPr>
    </w:p>
    <w:sectPr w:rsidR="00115E2A">
      <w:head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18BF84" w14:textId="77777777" w:rsidR="00D116C7" w:rsidRDefault="00D116C7">
      <w:pPr>
        <w:spacing w:line="240" w:lineRule="auto"/>
      </w:pPr>
      <w:r>
        <w:separator/>
      </w:r>
    </w:p>
  </w:endnote>
  <w:endnote w:type="continuationSeparator" w:id="0">
    <w:p w14:paraId="405C5A66" w14:textId="77777777" w:rsidR="00D116C7" w:rsidRDefault="00D116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93059C" w14:textId="77777777" w:rsidR="00D116C7" w:rsidRDefault="00D116C7">
      <w:pPr>
        <w:spacing w:line="240" w:lineRule="auto"/>
      </w:pPr>
      <w:r>
        <w:separator/>
      </w:r>
    </w:p>
  </w:footnote>
  <w:footnote w:type="continuationSeparator" w:id="0">
    <w:p w14:paraId="1A122251" w14:textId="77777777" w:rsidR="00D116C7" w:rsidRDefault="00D116C7">
      <w:pPr>
        <w:spacing w:line="240" w:lineRule="auto"/>
      </w:pPr>
      <w:r>
        <w:continuationSeparator/>
      </w:r>
    </w:p>
  </w:footnote>
  <w:footnote w:id="1">
    <w:p w14:paraId="0000003C" w14:textId="77777777" w:rsidR="00115E2A" w:rsidRDefault="00DA5776">
      <w:pPr>
        <w:spacing w:line="240" w:lineRule="auto"/>
      </w:pPr>
      <w:r>
        <w:rPr>
          <w:vertAlign w:val="superscript"/>
        </w:rPr>
        <w:footnoteRef/>
      </w:r>
      <w:r>
        <w:rPr>
          <w:sz w:val="20"/>
          <w:szCs w:val="20"/>
        </w:rPr>
        <w:t xml:space="preserve"> </w:t>
      </w:r>
      <w:r>
        <w:t xml:space="preserve">“Size of the Victorian School Education System 1. Numbers of Schools, Students and Teachers Government Catholic Independent All Schools Number of Schools by School Type Number (FTE) of Teaching Staff (Including Principals) in Government Schools on Pay by School Type, as at End of Quarter,” 2019. </w:t>
      </w:r>
      <w:hyperlink r:id="rId1">
        <w:r>
          <w:rPr>
            <w:color w:val="1155CC"/>
            <w:u w:val="single"/>
          </w:rPr>
          <w:t>https://www.education.vic.gov.au/Documents/about/department/brochurejuly.pdf</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3B" w14:textId="77777777" w:rsidR="00115E2A" w:rsidRDefault="00DA5776">
    <w:pPr>
      <w:jc w:val="right"/>
      <w:rPr>
        <w:rFonts w:ascii="Calibri" w:eastAsia="Calibri" w:hAnsi="Calibri" w:cs="Calibri"/>
        <w:color w:val="000000"/>
        <w:sz w:val="22"/>
        <w:szCs w:val="22"/>
      </w:rPr>
    </w:pPr>
    <w:r>
      <w:rPr>
        <w:b/>
        <w:sz w:val="22"/>
        <w:szCs w:val="22"/>
      </w:rPr>
      <w:t>Sponsor: Moreland City Council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DF15FB"/>
    <w:multiLevelType w:val="multilevel"/>
    <w:tmpl w:val="D3782D76"/>
    <w:lvl w:ilvl="0">
      <w:start w:val="1"/>
      <w:numFmt w:val="lowerLetter"/>
      <w:lvlText w:val="(%1)"/>
      <w:lvlJc w:val="left"/>
      <w:pPr>
        <w:ind w:left="1800" w:hanging="360"/>
      </w:pPr>
      <w:rPr>
        <w:u w:val="none"/>
      </w:rPr>
    </w:lvl>
    <w:lvl w:ilvl="1">
      <w:start w:val="1"/>
      <w:numFmt w:val="lowerRoman"/>
      <w:lvlText w:val="(%2)"/>
      <w:lvlJc w:val="right"/>
      <w:pPr>
        <w:ind w:left="2520" w:hanging="360"/>
      </w:pPr>
      <w:rPr>
        <w:u w:val="none"/>
      </w:rPr>
    </w:lvl>
    <w:lvl w:ilvl="2">
      <w:start w:val="1"/>
      <w:numFmt w:val="decimal"/>
      <w:lvlText w:val="(%3)"/>
      <w:lvlJc w:val="left"/>
      <w:pPr>
        <w:ind w:left="3240" w:hanging="360"/>
      </w:pPr>
      <w:rPr>
        <w:u w:val="none"/>
      </w:rPr>
    </w:lvl>
    <w:lvl w:ilvl="3">
      <w:start w:val="1"/>
      <w:numFmt w:val="lowerLetter"/>
      <w:lvlText w:val="%4)"/>
      <w:lvlJc w:val="left"/>
      <w:pPr>
        <w:ind w:left="3960" w:hanging="360"/>
      </w:pPr>
      <w:rPr>
        <w:u w:val="none"/>
      </w:rPr>
    </w:lvl>
    <w:lvl w:ilvl="4">
      <w:start w:val="1"/>
      <w:numFmt w:val="lowerRoman"/>
      <w:lvlText w:val="%5)"/>
      <w:lvlJc w:val="right"/>
      <w:pPr>
        <w:ind w:left="4680" w:hanging="360"/>
      </w:pPr>
      <w:rPr>
        <w:u w:val="none"/>
      </w:rPr>
    </w:lvl>
    <w:lvl w:ilvl="5">
      <w:start w:val="1"/>
      <w:numFmt w:val="decimal"/>
      <w:lvlText w:val="%6)"/>
      <w:lvlJc w:val="left"/>
      <w:pPr>
        <w:ind w:left="5400" w:hanging="360"/>
      </w:pPr>
      <w:rPr>
        <w:u w:val="none"/>
      </w:rPr>
    </w:lvl>
    <w:lvl w:ilvl="6">
      <w:start w:val="1"/>
      <w:numFmt w:val="lowerLetter"/>
      <w:lvlText w:val="%7."/>
      <w:lvlJc w:val="left"/>
      <w:pPr>
        <w:ind w:left="6120" w:hanging="360"/>
      </w:pPr>
      <w:rPr>
        <w:u w:val="none"/>
      </w:rPr>
    </w:lvl>
    <w:lvl w:ilvl="7">
      <w:start w:val="1"/>
      <w:numFmt w:val="lowerRoman"/>
      <w:lvlText w:val="%8."/>
      <w:lvlJc w:val="right"/>
      <w:pPr>
        <w:ind w:left="6840" w:hanging="360"/>
      </w:pPr>
      <w:rPr>
        <w:u w:val="none"/>
      </w:rPr>
    </w:lvl>
    <w:lvl w:ilvl="8">
      <w:start w:val="1"/>
      <w:numFmt w:val="decimal"/>
      <w:lvlText w:val="%9."/>
      <w:lvlJc w:val="left"/>
      <w:pPr>
        <w:ind w:left="7560" w:hanging="360"/>
      </w:pPr>
      <w:rPr>
        <w:u w:val="none"/>
      </w:rPr>
    </w:lvl>
  </w:abstractNum>
  <w:abstractNum w:abstractNumId="1" w15:restartNumberingAfterBreak="0">
    <w:nsid w:val="76641F6F"/>
    <w:multiLevelType w:val="multilevel"/>
    <w:tmpl w:val="5E0A07CA"/>
    <w:lvl w:ilvl="0">
      <w:start w:val="1"/>
      <w:numFmt w:val="lowerLetter"/>
      <w:lvlText w:val="(%1)"/>
      <w:lvlJc w:val="left"/>
      <w:pPr>
        <w:ind w:left="1800" w:hanging="360"/>
      </w:pPr>
      <w:rPr>
        <w:u w:val="none"/>
      </w:rPr>
    </w:lvl>
    <w:lvl w:ilvl="1">
      <w:start w:val="1"/>
      <w:numFmt w:val="lowerRoman"/>
      <w:lvlText w:val="(%2)"/>
      <w:lvlJc w:val="right"/>
      <w:pPr>
        <w:ind w:left="2520" w:hanging="360"/>
      </w:pPr>
      <w:rPr>
        <w:u w:val="none"/>
      </w:rPr>
    </w:lvl>
    <w:lvl w:ilvl="2">
      <w:start w:val="1"/>
      <w:numFmt w:val="decimal"/>
      <w:lvlText w:val="(%3)"/>
      <w:lvlJc w:val="left"/>
      <w:pPr>
        <w:ind w:left="3240" w:hanging="360"/>
      </w:pPr>
      <w:rPr>
        <w:u w:val="none"/>
      </w:rPr>
    </w:lvl>
    <w:lvl w:ilvl="3">
      <w:start w:val="1"/>
      <w:numFmt w:val="lowerLetter"/>
      <w:lvlText w:val="%4)"/>
      <w:lvlJc w:val="left"/>
      <w:pPr>
        <w:ind w:left="3960" w:hanging="360"/>
      </w:pPr>
      <w:rPr>
        <w:u w:val="none"/>
      </w:rPr>
    </w:lvl>
    <w:lvl w:ilvl="4">
      <w:start w:val="1"/>
      <w:numFmt w:val="lowerRoman"/>
      <w:lvlText w:val="%5)"/>
      <w:lvlJc w:val="right"/>
      <w:pPr>
        <w:ind w:left="4680" w:hanging="360"/>
      </w:pPr>
      <w:rPr>
        <w:u w:val="none"/>
      </w:rPr>
    </w:lvl>
    <w:lvl w:ilvl="5">
      <w:start w:val="1"/>
      <w:numFmt w:val="decimal"/>
      <w:lvlText w:val="%6)"/>
      <w:lvlJc w:val="left"/>
      <w:pPr>
        <w:ind w:left="5400" w:hanging="360"/>
      </w:pPr>
      <w:rPr>
        <w:u w:val="none"/>
      </w:rPr>
    </w:lvl>
    <w:lvl w:ilvl="6">
      <w:start w:val="1"/>
      <w:numFmt w:val="lowerLetter"/>
      <w:lvlText w:val="%7."/>
      <w:lvlJc w:val="left"/>
      <w:pPr>
        <w:ind w:left="6120" w:hanging="360"/>
      </w:pPr>
      <w:rPr>
        <w:u w:val="none"/>
      </w:rPr>
    </w:lvl>
    <w:lvl w:ilvl="7">
      <w:start w:val="1"/>
      <w:numFmt w:val="lowerRoman"/>
      <w:lvlText w:val="%8."/>
      <w:lvlJc w:val="right"/>
      <w:pPr>
        <w:ind w:left="6840" w:hanging="360"/>
      </w:pPr>
      <w:rPr>
        <w:u w:val="none"/>
      </w:rPr>
    </w:lvl>
    <w:lvl w:ilvl="8">
      <w:start w:val="1"/>
      <w:numFmt w:val="decimal"/>
      <w:lvlText w:val="%9."/>
      <w:lvlJc w:val="left"/>
      <w:pPr>
        <w:ind w:left="756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5E2A"/>
    <w:rsid w:val="00115E2A"/>
    <w:rsid w:val="002448EA"/>
    <w:rsid w:val="005B6884"/>
    <w:rsid w:val="006B3FD1"/>
    <w:rsid w:val="00CF29BF"/>
    <w:rsid w:val="00D116C7"/>
    <w:rsid w:val="00D75FBB"/>
    <w:rsid w:val="00DA5776"/>
    <w:rsid w:val="00DF1B04"/>
    <w:rsid w:val="00FE7A5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03C1F"/>
  <w15:docId w15:val="{7659F54B-D056-4F44-ADBF-7982368A9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4"/>
        <w:szCs w:val="24"/>
        <w:lang w:val="en-US" w:eastAsia="en-AU"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4954C1"/>
    <w:rPr>
      <w:sz w:val="16"/>
      <w:szCs w:val="16"/>
    </w:rPr>
  </w:style>
  <w:style w:type="paragraph" w:styleId="CommentText">
    <w:name w:val="annotation text"/>
    <w:basedOn w:val="Normal"/>
    <w:link w:val="CommentTextChar"/>
    <w:uiPriority w:val="99"/>
    <w:semiHidden/>
    <w:unhideWhenUsed/>
    <w:rsid w:val="004954C1"/>
    <w:pPr>
      <w:spacing w:line="240" w:lineRule="auto"/>
    </w:pPr>
    <w:rPr>
      <w:sz w:val="20"/>
      <w:szCs w:val="20"/>
    </w:rPr>
  </w:style>
  <w:style w:type="character" w:customStyle="1" w:styleId="CommentTextChar">
    <w:name w:val="Comment Text Char"/>
    <w:basedOn w:val="DefaultParagraphFont"/>
    <w:link w:val="CommentText"/>
    <w:uiPriority w:val="99"/>
    <w:semiHidden/>
    <w:rsid w:val="004954C1"/>
    <w:rPr>
      <w:sz w:val="20"/>
      <w:szCs w:val="20"/>
    </w:rPr>
  </w:style>
  <w:style w:type="paragraph" w:styleId="CommentSubject">
    <w:name w:val="annotation subject"/>
    <w:basedOn w:val="CommentText"/>
    <w:next w:val="CommentText"/>
    <w:link w:val="CommentSubjectChar"/>
    <w:uiPriority w:val="99"/>
    <w:semiHidden/>
    <w:unhideWhenUsed/>
    <w:rsid w:val="004954C1"/>
    <w:rPr>
      <w:b/>
      <w:bCs/>
    </w:rPr>
  </w:style>
  <w:style w:type="character" w:customStyle="1" w:styleId="CommentSubjectChar">
    <w:name w:val="Comment Subject Char"/>
    <w:basedOn w:val="CommentTextChar"/>
    <w:link w:val="CommentSubject"/>
    <w:uiPriority w:val="99"/>
    <w:semiHidden/>
    <w:rsid w:val="004954C1"/>
    <w:rPr>
      <w:b/>
      <w:bCs/>
      <w:sz w:val="20"/>
      <w:szCs w:val="20"/>
    </w:rPr>
  </w:style>
  <w:style w:type="paragraph" w:styleId="BalloonText">
    <w:name w:val="Balloon Text"/>
    <w:basedOn w:val="Normal"/>
    <w:link w:val="BalloonTextChar"/>
    <w:uiPriority w:val="99"/>
    <w:semiHidden/>
    <w:unhideWhenUsed/>
    <w:rsid w:val="004954C1"/>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954C1"/>
    <w:rPr>
      <w:rFonts w:ascii="Times New Roman" w:hAnsi="Times New Roman" w:cs="Times New Roman"/>
      <w:sz w:val="18"/>
      <w:szCs w:val="18"/>
    </w:rPr>
  </w:style>
  <w:style w:type="character" w:styleId="Hyperlink">
    <w:name w:val="Hyperlink"/>
    <w:basedOn w:val="DefaultParagraphFont"/>
    <w:uiPriority w:val="99"/>
    <w:semiHidden/>
    <w:unhideWhenUsed/>
    <w:rsid w:val="005312B8"/>
    <w:rPr>
      <w:color w:val="0000FF"/>
      <w:u w:val="single"/>
    </w:rPr>
  </w:style>
  <w:style w:type="paragraph" w:styleId="BodyTextIndent">
    <w:name w:val="Body Text Indent"/>
    <w:basedOn w:val="Normal"/>
    <w:link w:val="BodyTextIndentChar"/>
    <w:uiPriority w:val="99"/>
    <w:unhideWhenUsed/>
    <w:rsid w:val="006B3FD1"/>
    <w:pPr>
      <w:spacing w:line="276" w:lineRule="auto"/>
      <w:ind w:left="2160" w:hanging="720"/>
      <w:jc w:val="left"/>
    </w:pPr>
  </w:style>
  <w:style w:type="character" w:customStyle="1" w:styleId="BodyTextIndentChar">
    <w:name w:val="Body Text Indent Char"/>
    <w:basedOn w:val="DefaultParagraphFont"/>
    <w:link w:val="BodyTextIndent"/>
    <w:uiPriority w:val="99"/>
    <w:rsid w:val="006B3F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education.vic.gov.au/Documents/about/department/brochurejul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C+1saCKcGdcl9MkigSzFHugdHA==">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Pages>
  <Words>709</Words>
  <Characters>4043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Meaghan Ferguson</cp:lastModifiedBy>
  <cp:revision>5</cp:revision>
  <dcterms:created xsi:type="dcterms:W3CDTF">2020-06-28T01:12:00Z</dcterms:created>
  <dcterms:modified xsi:type="dcterms:W3CDTF">2020-08-23T07:11:00Z</dcterms:modified>
</cp:coreProperties>
</file>